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0F" w:rsidRDefault="00D3460F" w:rsidP="007B09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83" w:rsidRPr="00E875BF" w:rsidRDefault="00FB7923" w:rsidP="006C71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0D54B9" w:rsidRPr="00E875BF" w:rsidRDefault="007F6C83" w:rsidP="006C71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BF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E875B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875BF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E875BF">
        <w:rPr>
          <w:rFonts w:ascii="Times New Roman" w:hAnsi="Times New Roman" w:cs="Times New Roman"/>
          <w:sz w:val="28"/>
          <w:szCs w:val="28"/>
        </w:rPr>
        <w:t xml:space="preserve"> </w:t>
      </w:r>
      <w:r w:rsidRPr="00E875B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E87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5BF">
        <w:rPr>
          <w:rFonts w:ascii="Times New Roman" w:hAnsi="Times New Roman" w:cs="Times New Roman"/>
          <w:sz w:val="28"/>
          <w:szCs w:val="28"/>
        </w:rPr>
        <w:t>«</w:t>
      </w:r>
      <w:r w:rsidR="00E875BF" w:rsidRPr="00E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</w:t>
      </w:r>
    </w:p>
    <w:p w:rsidR="007F6C83" w:rsidRPr="00E875BF" w:rsidRDefault="00DA5493" w:rsidP="006C7126">
      <w:pPr>
        <w:spacing w:after="0" w:line="360" w:lineRule="auto"/>
        <w:ind w:left="1415" w:firstLine="1"/>
        <w:rPr>
          <w:rFonts w:ascii="Times New Roman" w:hAnsi="Times New Roman" w:cs="Times New Roman"/>
          <w:sz w:val="28"/>
          <w:szCs w:val="28"/>
        </w:rPr>
      </w:pPr>
      <w:r w:rsidRPr="00E875BF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E875BF">
        <w:rPr>
          <w:rFonts w:ascii="Times New Roman" w:hAnsi="Times New Roman" w:cs="Times New Roman"/>
          <w:sz w:val="28"/>
          <w:szCs w:val="28"/>
        </w:rPr>
        <w:t xml:space="preserve"> – 202</w:t>
      </w:r>
      <w:r w:rsidRPr="00E875BF">
        <w:rPr>
          <w:rFonts w:ascii="Times New Roman" w:hAnsi="Times New Roman" w:cs="Times New Roman"/>
          <w:sz w:val="28"/>
          <w:szCs w:val="28"/>
        </w:rPr>
        <w:t>4</w:t>
      </w:r>
      <w:r w:rsidR="007F6C83" w:rsidRPr="00E875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460F" w:rsidRPr="00E875BF" w:rsidRDefault="00D3460F" w:rsidP="006C71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AD3" w:rsidRPr="00D87E3C" w:rsidRDefault="00083AD3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EF4D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порядком, установленным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F4D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EF4D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EF4D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 Ханты-Мансийского района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2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</w:t>
      </w:r>
      <w:proofErr w:type="gramEnd"/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2023 </w:t>
      </w:r>
      <w:r w:rsidR="00EF4DF9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97862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05EF0" w:rsidRPr="00D87E3C" w:rsidRDefault="00805EF0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805EF0" w:rsidRPr="00D87E3C" w:rsidRDefault="00805EF0" w:rsidP="006C71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E3C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D87E3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7E3C">
        <w:rPr>
          <w:rFonts w:ascii="Times New Roman" w:hAnsi="Times New Roman" w:cs="Times New Roman"/>
          <w:sz w:val="28"/>
          <w:szCs w:val="28"/>
          <w:lang w:eastAsia="ru-RU"/>
        </w:rPr>
        <w:t xml:space="preserve"> графа 4 Приложения 2 «Перечень структурных элементов (основных мероприятий) муниципальной программы» не заполнена</w:t>
      </w:r>
      <w:r w:rsidRPr="00D87E3C">
        <w:rPr>
          <w:rFonts w:ascii="Times New Roman" w:hAnsi="Times New Roman" w:cs="Times New Roman"/>
          <w:sz w:val="28"/>
          <w:szCs w:val="28"/>
        </w:rPr>
        <w:t>.</w:t>
      </w:r>
    </w:p>
    <w:p w:rsidR="00805EF0" w:rsidRPr="00D87E3C" w:rsidRDefault="00805EF0" w:rsidP="006C71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E3C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805EF0" w:rsidRPr="00D87E3C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E3C">
        <w:rPr>
          <w:rFonts w:ascii="Times New Roman" w:hAnsi="Times New Roman" w:cs="Times New Roman"/>
          <w:iCs/>
          <w:sz w:val="28"/>
          <w:szCs w:val="28"/>
        </w:rPr>
        <w:t xml:space="preserve">Пояснительная записка к Проекту программы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EF0" w:rsidRPr="00D87E3C" w:rsidRDefault="00805EF0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экспертизы установлено, что куратором программы определен – </w:t>
      </w:r>
      <w:r w:rsidR="00E064CF"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 директор департамента строительства, архитектуры и ЖКХ администрации                   Ханты-Мансийского района</w:t>
      </w:r>
      <w:r w:rsidRPr="00D8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F0" w:rsidRPr="00A24836" w:rsidRDefault="00805EF0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определен                                       –</w:t>
      </w:r>
      <w:r w:rsidR="00E064CF" w:rsidRPr="00A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строительства, архитектуры и жилищно-коммунального хозяйства администрации Ханты-Мансийского района</w:t>
      </w:r>
      <w:r w:rsidRPr="00A2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4836" w:rsidRPr="00CC3C33" w:rsidRDefault="00A24836" w:rsidP="006C7126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C33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определены: </w:t>
      </w:r>
      <w:r w:rsidRPr="00CC3C33">
        <w:rPr>
          <w:rFonts w:ascii="Times New Roman" w:eastAsia="Calibri" w:hAnsi="Times New Roman"/>
          <w:sz w:val="28"/>
          <w:szCs w:val="28"/>
        </w:rPr>
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</w:t>
      </w:r>
      <w:r w:rsidR="008345CD" w:rsidRPr="00CC3C33">
        <w:rPr>
          <w:rFonts w:ascii="Times New Roman" w:eastAsia="Calibri" w:hAnsi="Times New Roman"/>
          <w:sz w:val="28"/>
          <w:szCs w:val="28"/>
        </w:rPr>
        <w:t>)</w:t>
      </w:r>
      <w:r w:rsidRPr="00CC3C33">
        <w:rPr>
          <w:rFonts w:ascii="Times New Roman" w:eastAsia="Calibri" w:hAnsi="Times New Roman"/>
          <w:sz w:val="28"/>
          <w:szCs w:val="28"/>
        </w:rPr>
        <w:t>; администрации сельских поселений                      Ханты-Мансийского района.</w:t>
      </w:r>
    </w:p>
    <w:p w:rsidR="00CC3C33" w:rsidRPr="00CC3C33" w:rsidRDefault="00CC3C33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рекомендует отразить в качестве соисполнителей муниципальной программы: </w:t>
      </w:r>
      <w:r w:rsidRPr="00CC3C33">
        <w:rPr>
          <w:rFonts w:ascii="Times New Roman" w:eastAsia="Calibri" w:hAnsi="Times New Roman"/>
          <w:sz w:val="28"/>
          <w:szCs w:val="28"/>
        </w:rPr>
        <w:t>муниципальное казенное учреждение Ханты-Мансийского района «Управление капитального строительства и ремонта» и сельские поселения.</w:t>
      </w:r>
    </w:p>
    <w:p w:rsidR="00805EF0" w:rsidRPr="00724EC6" w:rsidRDefault="00805EF0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цели: </w:t>
      </w:r>
      <w:r w:rsidR="00724EC6" w:rsidRPr="00724EC6">
        <w:rPr>
          <w:rFonts w:ascii="Times New Roman" w:eastAsia="Calibri" w:hAnsi="Times New Roman"/>
          <w:sz w:val="28"/>
          <w:szCs w:val="28"/>
        </w:rPr>
        <w:t>сохранение благоприятной окружающей среды и биологического разнообразия в интересах настоящего и будущего поколений.</w:t>
      </w:r>
    </w:p>
    <w:p w:rsidR="00805EF0" w:rsidRPr="00676168" w:rsidRDefault="00805EF0" w:rsidP="006C7126">
      <w:pPr>
        <w:pStyle w:val="ae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D014B9" w:rsidRPr="006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осуществляется посредством решения следующих задач:</w:t>
      </w:r>
    </w:p>
    <w:p w:rsidR="00676168" w:rsidRPr="00676168" w:rsidRDefault="00676168" w:rsidP="006C71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68">
        <w:rPr>
          <w:rFonts w:ascii="Times New Roman" w:hAnsi="Times New Roman" w:cs="Times New Roman"/>
          <w:sz w:val="28"/>
          <w:szCs w:val="28"/>
        </w:rPr>
        <w:t>1. Снижение негативного воздействия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6168">
        <w:rPr>
          <w:rFonts w:ascii="Times New Roman" w:hAnsi="Times New Roman" w:cs="Times New Roman"/>
          <w:sz w:val="28"/>
          <w:szCs w:val="28"/>
        </w:rPr>
        <w:t xml:space="preserve"> и потребления на окружающую среду;</w:t>
      </w:r>
    </w:p>
    <w:p w:rsidR="00676168" w:rsidRPr="00676168" w:rsidRDefault="00676168" w:rsidP="006C71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68">
        <w:rPr>
          <w:rFonts w:ascii="Times New Roman" w:hAnsi="Times New Roman" w:cs="Times New Roman"/>
          <w:sz w:val="28"/>
          <w:szCs w:val="28"/>
        </w:rPr>
        <w:t>2. Снижение уровня негативного воздействия факторов техногенного                                  и природного характера на окружающую среду и ее компоненты.</w:t>
      </w:r>
    </w:p>
    <w:p w:rsidR="002B5616" w:rsidRPr="002B5616" w:rsidRDefault="002B5616" w:rsidP="006C7126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52D48">
        <w:rPr>
          <w:rFonts w:ascii="PT Astra Serif" w:hAnsi="PT Astra Serif" w:cs="Times New Roman"/>
          <w:sz w:val="28"/>
          <w:szCs w:val="28"/>
        </w:rPr>
        <w:t>Проект предусматривает достижение национальной цели «Экологическое оздоровление водных объектов и сохранение уникальных водных систем».</w:t>
      </w:r>
    </w:p>
    <w:p w:rsidR="008C6FA2" w:rsidRDefault="008C6FA2" w:rsidP="006C7126">
      <w:pPr>
        <w:spacing w:after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Контрольно-счетная палата Ханты-Мансийского района настоятельно рекомендует использовать при определении целей и задач муниципальной программы документы стратегического планирования,                 а именно: </w:t>
      </w:r>
      <w:r w:rsidR="002B5616" w:rsidRPr="002B561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19.04.2017 № 176             «О Стратегии экологической безопасности Российской Федерации                      на период до 2025 года»; Указ Президента Российской Федерации                       от 07.05.2018 № 204 «О национальных целях и стратегических задачах развития Российской Федерации на период до 2024 года»; </w:t>
      </w:r>
      <w:r w:rsidR="002B5616" w:rsidRPr="002B5616">
        <w:rPr>
          <w:rFonts w:ascii="Times New Roman" w:hAnsi="Times New Roman" w:cs="Times New Roman"/>
          <w:sz w:val="28"/>
          <w:szCs w:val="28"/>
        </w:rPr>
        <w:br/>
        <w:t xml:space="preserve">распоряжение Правительства Российской Федерации от 25.01.2018 № 84-р «Об утверждении Стратегии развития промышленности по обработке, утилизации и обезвреживанию отходов производства и потребления </w:t>
      </w:r>
      <w:r w:rsidR="00335AE1" w:rsidRPr="00335A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5616" w:rsidRPr="002B5616">
        <w:rPr>
          <w:rFonts w:ascii="Times New Roman" w:hAnsi="Times New Roman" w:cs="Times New Roman"/>
          <w:sz w:val="28"/>
          <w:szCs w:val="28"/>
        </w:rPr>
        <w:t>на период до 2030 года»</w:t>
      </w:r>
      <w:r w:rsidRPr="002B5616">
        <w:rPr>
          <w:rFonts w:ascii="Times New Roman" w:hAnsi="Times New Roman" w:cs="Times New Roman"/>
          <w:sz w:val="28"/>
          <w:szCs w:val="28"/>
        </w:rPr>
        <w:t xml:space="preserve">. </w:t>
      </w: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7377AC" w:rsidRPr="00D74FE5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бюджета автономного округа, бюджета Ханты-Мансийского района.</w:t>
      </w:r>
    </w:p>
    <w:p w:rsidR="007377AC" w:rsidRPr="00BE07B4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BE07B4" w:rsidRPr="00BE07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302,3</w:t>
      </w:r>
      <w:r w:rsidRPr="00BE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числе: бюджет             Ханты-Мансийского автономного округа – Югры – </w:t>
      </w:r>
      <w:r w:rsid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202,3</w:t>
      </w:r>
      <w:r w:rsidRPr="00BE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BE07B4" w:rsidRPr="00BE07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1 100,0</w:t>
      </w:r>
      <w:r w:rsidRPr="00BE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рублей), в разрезе                      по годам:</w:t>
      </w:r>
    </w:p>
    <w:p w:rsidR="007377AC" w:rsidRPr="005B41F7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1 167,9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67,9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1 100,0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5B41F7" w:rsidRPr="005B41F7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67,2</w:t>
      </w:r>
      <w:r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числе: бюджет                           Ханты-Мансийского автономного округа – Югры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67,2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</w:t>
      </w:r>
    </w:p>
    <w:p w:rsidR="007377AC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67,2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5B41F7" w:rsidRPr="005B41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67,2</w:t>
      </w:r>
      <w:r w:rsidRPr="005B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C7126" w:rsidRPr="009B4E2A" w:rsidRDefault="006C7126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финансовое обеспечение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предполагается, а их реализация осуществляется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или функционала, то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факт необходимо отразить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E444D1" w:rsidRPr="007B2D81" w:rsidRDefault="00E444D1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бюджет, средства бюджета района                          на </w:t>
      </w:r>
      <w:proofErr w:type="spellStart"/>
      <w:r w:rsidRPr="007F094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расходов за счет федерального и регионального бюджетов, средства предприятий </w:t>
      </w:r>
      <w:proofErr w:type="spellStart"/>
      <w:r w:rsidRPr="007F0946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и средства бюджетов сельских поселений. </w:t>
      </w:r>
      <w:r w:rsidRPr="007F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7F0946">
        <w:rPr>
          <w:rFonts w:ascii="Times New Roman" w:eastAsia="Calibri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7F0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предусмотрены и составляют       0,0 рублей.</w:t>
      </w:r>
    </w:p>
    <w:p w:rsidR="00741FA1" w:rsidRPr="00D74FE5" w:rsidRDefault="00741FA1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мероприятий программы                   из иных источников не предусмотрено.</w:t>
      </w:r>
    </w:p>
    <w:p w:rsidR="007377AC" w:rsidRDefault="007377AC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и на плановый период 2023 и 2024 годов»).</w:t>
      </w:r>
      <w:proofErr w:type="gramEnd"/>
    </w:p>
    <w:p w:rsidR="00805EF0" w:rsidRPr="00EC2E15" w:rsidRDefault="00805EF0" w:rsidP="006C71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от 24.07.2018 № 211 «О порядке составления </w:t>
      </w:r>
      <w:r w:rsidRPr="00EC2E15">
        <w:rPr>
          <w:rFonts w:ascii="Times New Roman" w:hAnsi="Times New Roman" w:cs="Times New Roman"/>
          <w:sz w:val="28"/>
          <w:szCs w:val="28"/>
        </w:rPr>
        <w:lastRenderedPageBreak/>
        <w:t>проекта решения о бюджете Ханты-Мансийского района на очередной финансовый год и плановый период».</w:t>
      </w:r>
    </w:p>
    <w:p w:rsidR="00805EF0" w:rsidRPr="00EC2E15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EC2E15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EC2E15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805EF0" w:rsidRPr="00EC2E15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EC2E15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EC2E15">
        <w:rPr>
          <w:rFonts w:ascii="Times New Roman" w:hAnsi="Times New Roman" w:cs="Times New Roman"/>
          <w:sz w:val="28"/>
          <w:szCs w:val="28"/>
        </w:rPr>
        <w:t>.</w:t>
      </w:r>
    </w:p>
    <w:p w:rsidR="00805EF0" w:rsidRPr="00EC2E15" w:rsidRDefault="00805EF0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741FA1" w:rsidRDefault="00805EF0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реализацию </w:t>
      </w:r>
      <w:r w:rsidR="0074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подпрограммы, </w:t>
      </w:r>
      <w:r w:rsidRPr="00345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</w:t>
      </w:r>
      <w:r w:rsidR="0074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структурных элементов (мероприятий).</w:t>
      </w:r>
    </w:p>
    <w:p w:rsidR="004D5DA7" w:rsidRDefault="00741FA1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рамках Подпрограммы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системы обращения с отходами производства и потребления на территории Ханты-Мансийского района» предусмотрена реализация </w:t>
      </w:r>
      <w:r w:rsidR="00085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«Сохранение уникальных водных объектов»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5B2C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мероприятия</w:t>
      </w:r>
      <w:r w:rsidR="003454C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регулирования деятельности по обращению с отходами производства и потребления»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5B2C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которое предусматривает реализацию мероприятий (структурный элемент) </w:t>
      </w:r>
      <w:r w:rsidR="00085B2C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«Субвенции на осуществление отдельных полномочий по организации деятельности по обращению 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85B2C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твердыми коммунальными отходами»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D5DA7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4D5DA7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«Ликвидация несанкционированных свалок»</w:t>
      </w:r>
      <w:r w:rsidR="00085B2C" w:rsidRP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5B2C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</w:t>
      </w:r>
      <w:r w:rsidR="0008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7916" w:rsidRDefault="00DF7916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23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счетная палата рекомендует скорректировать наименование мероприятия </w:t>
      </w:r>
      <w:r w:rsidR="00234C9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«Субвенции на осуществление отдельных полномочий по организации деятельности по обращению с твердыми коммунальными отходами»</w:t>
      </w:r>
      <w:r w:rsidR="0023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34C98" w:rsidRPr="004D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</w:t>
      </w:r>
      <w:r w:rsidR="0023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изложив в новой редакции «Обеспечение реализации отдельных государственных полномочий                          в  сфере обращения с твердыми коммунальными отходами»</w:t>
      </w:r>
      <w:r w:rsidR="001E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E90" w:rsidRDefault="001E0911" w:rsidP="006C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учитывая нормы Федерального закона                           от 24.06.1998 № 89-ФЗ «Об отходах производства и потребления» предлагаем предусмотреть реализацию мероприяти</w:t>
      </w:r>
      <w:r w:rsidR="000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экологического воспитания и формирования экологической культуры                     в области обращения с твердыми коммунальными отходами. </w:t>
      </w:r>
      <w:r w:rsidR="00D7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7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предлагает: в случае, </w:t>
      </w:r>
      <w:r w:rsidR="00D70E90"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финансовое обеспечение мероприятий не предполагается, а их реализация осуществляется в рам</w:t>
      </w:r>
      <w:r w:rsidR="00D7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или функционала,                                  то </w:t>
      </w:r>
      <w:r w:rsidR="00D70E90"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факт необходимо отразить</w:t>
      </w:r>
      <w:r w:rsidR="00D7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E90"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D4008D" w:rsidRPr="001C545C" w:rsidRDefault="00C42D8F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</w:t>
      </w:r>
      <w:r w:rsidR="00D4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еского обоснования мероприятия </w:t>
      </w:r>
      <w:r w:rsidRPr="0041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«Ликвидация несанкционированных свалок» </w:t>
      </w:r>
      <w:r w:rsidR="00D4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008D" w:rsidRPr="0041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</w:t>
      </w:r>
      <w:r w:rsidR="00D4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1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 локальный сметный расчет «Ликвидация свалки на участке с условным </w:t>
      </w:r>
      <w:r w:rsidRPr="0041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кадастровым номером 86:02:1213001:384/3У1»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Локальный </w:t>
      </w:r>
      <w:r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сметный расчет) н</w:t>
      </w:r>
      <w:r w:rsidR="00D4008D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сумму 1 142 776,57 рублей, которым не определена </w:t>
      </w:r>
      <w:r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C3C33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территория</w:t>
      </w:r>
      <w:r w:rsidR="001C545C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08D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CC3C33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008D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свалк</w:t>
      </w:r>
      <w:r w:rsidR="00CC3C33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008D" w:rsidRPr="001C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648" w:rsidRPr="00632941" w:rsidRDefault="00EF6648" w:rsidP="006C71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941">
        <w:rPr>
          <w:rFonts w:ascii="Times New Roman" w:hAnsi="Times New Roman" w:cs="Times New Roman"/>
          <w:sz w:val="28"/>
          <w:szCs w:val="28"/>
        </w:rPr>
        <w:t>Работы по ликвидации несанкционированной свалки, которые входят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941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63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 сметного расчета</w:t>
      </w:r>
      <w:r w:rsidRPr="00632941">
        <w:rPr>
          <w:rFonts w:ascii="Times New Roman" w:hAnsi="Times New Roman" w:cs="Times New Roman"/>
          <w:sz w:val="28"/>
          <w:szCs w:val="28"/>
        </w:rPr>
        <w:t>, предполагают погрузку                                     в самосвалы, транспортирование</w:t>
      </w:r>
      <w:r>
        <w:rPr>
          <w:rFonts w:ascii="Times New Roman" w:hAnsi="Times New Roman" w:cs="Times New Roman"/>
          <w:sz w:val="28"/>
          <w:szCs w:val="28"/>
        </w:rPr>
        <w:t>, выгрузку</w:t>
      </w:r>
      <w:r w:rsidRPr="00632941">
        <w:rPr>
          <w:rFonts w:ascii="Times New Roman" w:hAnsi="Times New Roman" w:cs="Times New Roman"/>
          <w:sz w:val="28"/>
          <w:szCs w:val="28"/>
        </w:rPr>
        <w:t xml:space="preserve"> и размещение на площадке ТБО.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41">
        <w:rPr>
          <w:rFonts w:ascii="Times New Roman" w:hAnsi="Times New Roman" w:cs="Times New Roman"/>
          <w:sz w:val="28"/>
          <w:szCs w:val="28"/>
        </w:rPr>
        <w:t xml:space="preserve">Вместе с тем, проектно-сметная документация в своем составе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941">
        <w:rPr>
          <w:rFonts w:ascii="Times New Roman" w:hAnsi="Times New Roman" w:cs="Times New Roman"/>
          <w:sz w:val="28"/>
          <w:szCs w:val="28"/>
        </w:rPr>
        <w:t>не предусматривает и не описывает процесс сбора отходов, а также перечень мероприятий по рекультивации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2941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2941">
        <w:rPr>
          <w:rFonts w:ascii="Times New Roman" w:hAnsi="Times New Roman" w:cs="Times New Roman"/>
          <w:sz w:val="28"/>
          <w:szCs w:val="28"/>
        </w:rPr>
        <w:t xml:space="preserve"> размещены свалки.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EE" w:rsidRDefault="00F926D3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публичной кадастровой карте, кадастровый номер</w:t>
      </w:r>
      <w:r w:rsidRPr="0041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86:02:1213001:384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земельному участку, расположенному </w:t>
      </w:r>
      <w:r w:rsidR="00EF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 п</w:t>
      </w:r>
      <w:proofErr w:type="gramStart"/>
      <w:r w:rsidR="00EF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EF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обровский, улица Школьная, категория земель – земли поселений</w:t>
      </w:r>
      <w:r w:rsidR="0009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9D1" w:rsidRDefault="0034104F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11 Земельного кодекса Российской Федерации регламентировано, что органы местного самоуправления осуществляют управление и распоряжение земельными участками, находящимися                       в муниципальной собственности.</w:t>
      </w:r>
    </w:p>
    <w:p w:rsidR="0034104F" w:rsidRDefault="00717A48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части 3 и 4 статьи 14 </w:t>
      </w:r>
      <w:r w:rsidR="004C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                                        от 06.10.2003 № 131-ФЗ «Об общих принципах организации местного самоуправления в Российской Федерации» (далее – Федеральный закон               № 131-ФЗ), а также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акрепление в пункте 14 части 1 статьи 15 Федерального закона № 131-ФЗ в качестве вопроса местного значения муниципального района участие в организации деятельности                      по накоплению (в том числе раздельному накоплению), сбору, транспортированию, </w:t>
      </w:r>
      <w:r w:rsidRPr="0071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обработке, утилизации</w:t>
      </w:r>
      <w:proofErr w:type="gramEnd"/>
      <w:r w:rsidRPr="0071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1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обезвреживанию, захоронению твердых коммунальных отходов на территориях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тствующих муниципальных районов предполагает необходимость реализации органами местного самоуправления ряда задач                      публично-властного характера по налаживанию устойчивой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согласованно функционирующей системы мер,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отходами, а также позволяющих производить их утилизацию и обработку. </w:t>
      </w:r>
      <w:proofErr w:type="gramEnd"/>
    </w:p>
    <w:p w:rsidR="008E0AC9" w:rsidRDefault="008E0AC9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несанкционированной свалки отходов содержится в п.4.13 ГОСТ 30772-2001 «Межгосударственный стандарт. Ресурсосбережение. Обращение с отходами. Термины и определения», согласно которому несанкционированные свалки отходов – это территории, используемые, </w:t>
      </w:r>
      <w:r w:rsidRPr="007E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предназначенные для размещения на них отходов.</w:t>
      </w:r>
    </w:p>
    <w:p w:rsidR="008E0AC9" w:rsidRPr="008E0AC9" w:rsidRDefault="008E0AC9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правовой позицией Конституционного Суда Российской Федерации, выраженной в пункте 3.1 Постановления </w:t>
      </w:r>
      <w:r w:rsidR="0032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26.04.2016 № 13-П, к полномочиям органов местного самоуправления относится принятие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бытовых и промышленных отходов</w:t>
      </w:r>
      <w:proofErr w:type="gramEnd"/>
    </w:p>
    <w:p w:rsidR="00CF79D1" w:rsidRDefault="008E0AC9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законоположение действует во взаимосвязи с нормами законодательства в области охраны окружающей среды, а именно положениями Федерального закона от 24.07.1998 № 89-ФЗ «О</w:t>
      </w:r>
      <w:r w:rsidR="004A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отходах производства и потребления», согласно которым территории муниципальных образований подлежат регулярной очистке от отходов                 в соответствии с экологическими, санитарными и иными требованиями (пункт 1 статьи 13), а также Федерального закона </w:t>
      </w:r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 7-ФЗ «Об охране окружающей среды»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вопросам местного значения муниципального района </w:t>
      </w:r>
      <w:r w:rsidR="004A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отношений, связанных с охраной окружающей среды, организацию</w:t>
      </w:r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proofErr w:type="spellStart"/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по охране окружающей среды</w:t>
      </w:r>
      <w:r w:rsidR="004A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7)</w:t>
      </w:r>
      <w:r w:rsidR="00D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1D0" w:rsidRDefault="004A61D0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силу статьи 1 Федерального закона от 24.07.1998 № 89-ФЗ «Об отходах производства и потребления» объектом размещения отходов моет являться только специально оборудованное сооружение, а одним из требований к объектам размещения отходов часть 5 статьи 12 данного закона установлен запрет захоронения отходов в границах населенных пунктов.</w:t>
      </w:r>
    </w:p>
    <w:p w:rsidR="00D93245" w:rsidRDefault="00D93245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непринятие мер к ликвидации несанкционированной свалки нарушает права граждан на благоприятную окружающую среду.</w:t>
      </w:r>
    </w:p>
    <w:p w:rsidR="007E3140" w:rsidRDefault="00326225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контрольно-счетная палата предлагает рассмотреть возможность реализации мероприятий по ликвидации несанкционированных свалок за счет средств резервного фонда администрации Ханты-Мансийского района.</w:t>
      </w:r>
    </w:p>
    <w:p w:rsidR="00051DE7" w:rsidRPr="008E0AC9" w:rsidRDefault="00406539" w:rsidP="006C71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контрольно-счетная палата обращает внимание                     на объективность формирования финансового обеспечения мероприятия 1.2.2., так как в случае ликвидации несанкционированной свалки                       на территории иного сельского поселения объем расходов может быть изменен как в сторону увеличения, так и уменьшения, в связи                              с применением определенных, для муниципального образования предельных, тарифов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обращения с твердыми коммунальными отходами.</w:t>
      </w:r>
      <w:proofErr w:type="gramEnd"/>
    </w:p>
    <w:p w:rsidR="00805EF0" w:rsidRPr="00E97DAA" w:rsidRDefault="00805EF0" w:rsidP="006C712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9A627B" w:rsidRPr="009B4E2A" w:rsidRDefault="009A627B" w:rsidP="006C7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9B4E2A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9B4E2A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9B4E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9B4E2A">
        <w:rPr>
          <w:rFonts w:ascii="Times New Roman" w:hAnsi="Times New Roman" w:cs="Times New Roman"/>
          <w:sz w:val="28"/>
          <w:szCs w:val="28"/>
        </w:rPr>
        <w:lastRenderedPageBreak/>
        <w:t>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805EF0" w:rsidRPr="00E97DAA" w:rsidRDefault="00805EF0" w:rsidP="006C7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A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</w:t>
      </w:r>
      <w:r w:rsidR="007F65AC" w:rsidRPr="00E97DAA">
        <w:rPr>
          <w:rFonts w:ascii="Times New Roman" w:hAnsi="Times New Roman" w:cs="Times New Roman"/>
          <w:sz w:val="28"/>
          <w:szCs w:val="28"/>
        </w:rPr>
        <w:t>«</w:t>
      </w:r>
      <w:r w:rsidR="00E97DAA" w:rsidRPr="00E97DAA">
        <w:rPr>
          <w:rFonts w:ascii="Times New Roman" w:hAnsi="Times New Roman" w:cs="Times New Roman"/>
          <w:sz w:val="28"/>
          <w:szCs w:val="28"/>
        </w:rPr>
        <w:t>Экологическое просвещение</w:t>
      </w:r>
      <w:r w:rsidR="007F65AC" w:rsidRPr="00E97DAA">
        <w:rPr>
          <w:rFonts w:ascii="Times New Roman" w:hAnsi="Times New Roman" w:cs="Times New Roman"/>
          <w:sz w:val="28"/>
          <w:szCs w:val="28"/>
        </w:rPr>
        <w:t>»</w:t>
      </w:r>
      <w:r w:rsidR="00051E5F" w:rsidRPr="00051E5F">
        <w:t xml:space="preserve"> </w:t>
      </w:r>
      <w:r w:rsidR="00051E5F" w:rsidRPr="00051E5F">
        <w:rPr>
          <w:rFonts w:ascii="Times New Roman" w:hAnsi="Times New Roman" w:cs="Times New Roman"/>
          <w:sz w:val="28"/>
          <w:szCs w:val="28"/>
        </w:rPr>
        <w:t>и</w:t>
      </w:r>
      <w:r w:rsidR="00051E5F">
        <w:t xml:space="preserve"> </w:t>
      </w:r>
      <w:r w:rsidR="00051E5F" w:rsidRPr="00051E5F">
        <w:rPr>
          <w:rFonts w:ascii="Times New Roman" w:hAnsi="Times New Roman" w:cs="Times New Roman"/>
          <w:sz w:val="28"/>
          <w:szCs w:val="28"/>
        </w:rPr>
        <w:t>«Сохранение и восстановление окружающей среды»</w:t>
      </w:r>
      <w:r w:rsidRPr="00E97DAA">
        <w:rPr>
          <w:rFonts w:ascii="Times New Roman" w:hAnsi="Times New Roman" w:cs="Times New Roman"/>
          <w:sz w:val="28"/>
          <w:szCs w:val="28"/>
        </w:rPr>
        <w:t>.</w:t>
      </w:r>
    </w:p>
    <w:p w:rsidR="00805EF0" w:rsidRPr="00E97DAA" w:rsidRDefault="00805EF0" w:rsidP="006C7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AA">
        <w:rPr>
          <w:rFonts w:ascii="Times New Roman" w:hAnsi="Times New Roman" w:cs="Times New Roman"/>
          <w:sz w:val="28"/>
          <w:szCs w:val="28"/>
        </w:rPr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805EF0" w:rsidRPr="00E97DAA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DAA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 актуализировать Стратегию, в том числе содержание части 3 решения Думы Ханты-Мансийского района от 21.09.2018 № 341 и привести                         в соответствие с Федеральным законом от 28.06.2014 № 172-ФЗ                            «О стратегическом планировании в Российской Федерации»,                              при этом учесть порядок разработки, утверждения (одобрения)                             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805EF0" w:rsidRPr="00E97DAA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A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024CD9" w:rsidRDefault="00805EF0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A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6C7126" w:rsidRDefault="006C7126" w:rsidP="006C7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126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F1" w:rsidRDefault="00AC3BF1" w:rsidP="00617B40">
      <w:pPr>
        <w:spacing w:after="0" w:line="240" w:lineRule="auto"/>
      </w:pPr>
      <w:r>
        <w:separator/>
      </w:r>
    </w:p>
  </w:endnote>
  <w:endnote w:type="continuationSeparator" w:id="0">
    <w:p w:rsidR="00AC3BF1" w:rsidRDefault="00AC3B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AC3BF1" w:rsidRDefault="00BF110F">
        <w:pPr>
          <w:pStyle w:val="a8"/>
          <w:jc w:val="right"/>
        </w:pPr>
        <w:r>
          <w:fldChar w:fldCharType="begin"/>
        </w:r>
        <w:r w:rsidR="001D2124">
          <w:instrText>PAGE   \* MERGEFORMAT</w:instrText>
        </w:r>
        <w:r>
          <w:fldChar w:fldCharType="separate"/>
        </w:r>
        <w:r w:rsidR="00FB7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BF1" w:rsidRDefault="00AC3B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F1" w:rsidRDefault="00AC3BF1" w:rsidP="00617B40">
      <w:pPr>
        <w:spacing w:after="0" w:line="240" w:lineRule="auto"/>
      </w:pPr>
      <w:r>
        <w:separator/>
      </w:r>
    </w:p>
  </w:footnote>
  <w:footnote w:type="continuationSeparator" w:id="0">
    <w:p w:rsidR="00AC3BF1" w:rsidRDefault="00AC3B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E0A1B"/>
    <w:multiLevelType w:val="multilevel"/>
    <w:tmpl w:val="B4BC1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7BD6"/>
    <w:rsid w:val="00022632"/>
    <w:rsid w:val="00024CD9"/>
    <w:rsid w:val="00025549"/>
    <w:rsid w:val="00027044"/>
    <w:rsid w:val="000311C8"/>
    <w:rsid w:val="000369F8"/>
    <w:rsid w:val="00040EB8"/>
    <w:rsid w:val="00050025"/>
    <w:rsid w:val="00051DE7"/>
    <w:rsid w:val="00051E5F"/>
    <w:rsid w:val="000553F6"/>
    <w:rsid w:val="00057C69"/>
    <w:rsid w:val="00064979"/>
    <w:rsid w:val="00065F43"/>
    <w:rsid w:val="000665BF"/>
    <w:rsid w:val="0007486B"/>
    <w:rsid w:val="0008280A"/>
    <w:rsid w:val="00083AD3"/>
    <w:rsid w:val="00083FB6"/>
    <w:rsid w:val="00085B2C"/>
    <w:rsid w:val="000931D7"/>
    <w:rsid w:val="0009485B"/>
    <w:rsid w:val="00094C89"/>
    <w:rsid w:val="000977EE"/>
    <w:rsid w:val="00097991"/>
    <w:rsid w:val="000A20DE"/>
    <w:rsid w:val="000A4965"/>
    <w:rsid w:val="000B30E4"/>
    <w:rsid w:val="000B4C48"/>
    <w:rsid w:val="000B6BD3"/>
    <w:rsid w:val="000B7A65"/>
    <w:rsid w:val="000C09FE"/>
    <w:rsid w:val="000C49A5"/>
    <w:rsid w:val="000D54B9"/>
    <w:rsid w:val="000E20BE"/>
    <w:rsid w:val="000E2AD9"/>
    <w:rsid w:val="000E4D41"/>
    <w:rsid w:val="000E5542"/>
    <w:rsid w:val="000E5ACE"/>
    <w:rsid w:val="000F052E"/>
    <w:rsid w:val="000F242D"/>
    <w:rsid w:val="000F4612"/>
    <w:rsid w:val="000F7F38"/>
    <w:rsid w:val="001001A3"/>
    <w:rsid w:val="00105DD0"/>
    <w:rsid w:val="00112BA1"/>
    <w:rsid w:val="00113987"/>
    <w:rsid w:val="00113D3B"/>
    <w:rsid w:val="00126069"/>
    <w:rsid w:val="00131D27"/>
    <w:rsid w:val="0013498D"/>
    <w:rsid w:val="00150967"/>
    <w:rsid w:val="00152C1B"/>
    <w:rsid w:val="00167936"/>
    <w:rsid w:val="00170D33"/>
    <w:rsid w:val="00181A49"/>
    <w:rsid w:val="00182B80"/>
    <w:rsid w:val="001847D2"/>
    <w:rsid w:val="0018600B"/>
    <w:rsid w:val="00186A59"/>
    <w:rsid w:val="001B207C"/>
    <w:rsid w:val="001C53FD"/>
    <w:rsid w:val="001C545C"/>
    <w:rsid w:val="001C5C3F"/>
    <w:rsid w:val="001C5EAA"/>
    <w:rsid w:val="001D2124"/>
    <w:rsid w:val="001D2B72"/>
    <w:rsid w:val="001D5369"/>
    <w:rsid w:val="001E0911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13AD"/>
    <w:rsid w:val="00234040"/>
    <w:rsid w:val="00234C98"/>
    <w:rsid w:val="0023737F"/>
    <w:rsid w:val="00237E69"/>
    <w:rsid w:val="00240BFA"/>
    <w:rsid w:val="0024689F"/>
    <w:rsid w:val="002529F0"/>
    <w:rsid w:val="002566E0"/>
    <w:rsid w:val="00256834"/>
    <w:rsid w:val="00261D49"/>
    <w:rsid w:val="00282022"/>
    <w:rsid w:val="00282DDE"/>
    <w:rsid w:val="002835D7"/>
    <w:rsid w:val="00296111"/>
    <w:rsid w:val="00297A80"/>
    <w:rsid w:val="002A4535"/>
    <w:rsid w:val="002A75A0"/>
    <w:rsid w:val="002A7BC6"/>
    <w:rsid w:val="002B5616"/>
    <w:rsid w:val="002B76A6"/>
    <w:rsid w:val="002C31A1"/>
    <w:rsid w:val="002C49D9"/>
    <w:rsid w:val="002C4CEF"/>
    <w:rsid w:val="002C6EAF"/>
    <w:rsid w:val="002D0994"/>
    <w:rsid w:val="002D28E9"/>
    <w:rsid w:val="002D3626"/>
    <w:rsid w:val="002E10A5"/>
    <w:rsid w:val="002F47B5"/>
    <w:rsid w:val="00301280"/>
    <w:rsid w:val="0030329F"/>
    <w:rsid w:val="00307637"/>
    <w:rsid w:val="00310695"/>
    <w:rsid w:val="003121AF"/>
    <w:rsid w:val="00314166"/>
    <w:rsid w:val="003242D8"/>
    <w:rsid w:val="00326225"/>
    <w:rsid w:val="003311A4"/>
    <w:rsid w:val="00335AE1"/>
    <w:rsid w:val="00336494"/>
    <w:rsid w:val="0034104F"/>
    <w:rsid w:val="00343BF0"/>
    <w:rsid w:val="00343FF5"/>
    <w:rsid w:val="003454C8"/>
    <w:rsid w:val="003456DD"/>
    <w:rsid w:val="00353B8F"/>
    <w:rsid w:val="00357172"/>
    <w:rsid w:val="003624D8"/>
    <w:rsid w:val="00367850"/>
    <w:rsid w:val="0037260E"/>
    <w:rsid w:val="003776D3"/>
    <w:rsid w:val="00381ADF"/>
    <w:rsid w:val="003821B8"/>
    <w:rsid w:val="00383186"/>
    <w:rsid w:val="00393DAD"/>
    <w:rsid w:val="00397530"/>
    <w:rsid w:val="00397EFC"/>
    <w:rsid w:val="003A2B0F"/>
    <w:rsid w:val="003A559B"/>
    <w:rsid w:val="003A6A2D"/>
    <w:rsid w:val="003B12D8"/>
    <w:rsid w:val="003C5015"/>
    <w:rsid w:val="003E2717"/>
    <w:rsid w:val="003F2416"/>
    <w:rsid w:val="003F3603"/>
    <w:rsid w:val="00404BE7"/>
    <w:rsid w:val="00406539"/>
    <w:rsid w:val="00407776"/>
    <w:rsid w:val="004124A0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44B9"/>
    <w:rsid w:val="00465FC6"/>
    <w:rsid w:val="0047240A"/>
    <w:rsid w:val="0047475E"/>
    <w:rsid w:val="004913EF"/>
    <w:rsid w:val="004917DD"/>
    <w:rsid w:val="004957F4"/>
    <w:rsid w:val="004A21FF"/>
    <w:rsid w:val="004A61D0"/>
    <w:rsid w:val="004B09C4"/>
    <w:rsid w:val="004B28BF"/>
    <w:rsid w:val="004B2B67"/>
    <w:rsid w:val="004C069C"/>
    <w:rsid w:val="004C093D"/>
    <w:rsid w:val="004C1D35"/>
    <w:rsid w:val="004C66C1"/>
    <w:rsid w:val="004C7125"/>
    <w:rsid w:val="004D5DA7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104E6"/>
    <w:rsid w:val="005106B8"/>
    <w:rsid w:val="00514E41"/>
    <w:rsid w:val="00521735"/>
    <w:rsid w:val="00521C48"/>
    <w:rsid w:val="00530DCC"/>
    <w:rsid w:val="00531061"/>
    <w:rsid w:val="0053197F"/>
    <w:rsid w:val="00532CA8"/>
    <w:rsid w:val="005439BD"/>
    <w:rsid w:val="0055140B"/>
    <w:rsid w:val="005565CD"/>
    <w:rsid w:val="005615FB"/>
    <w:rsid w:val="00561EA5"/>
    <w:rsid w:val="00563E15"/>
    <w:rsid w:val="0056694C"/>
    <w:rsid w:val="00572453"/>
    <w:rsid w:val="00572671"/>
    <w:rsid w:val="00577F36"/>
    <w:rsid w:val="005901A5"/>
    <w:rsid w:val="0059275E"/>
    <w:rsid w:val="005A66B0"/>
    <w:rsid w:val="005B0BBF"/>
    <w:rsid w:val="005B1329"/>
    <w:rsid w:val="005B2935"/>
    <w:rsid w:val="005B41F7"/>
    <w:rsid w:val="005B7083"/>
    <w:rsid w:val="005C6889"/>
    <w:rsid w:val="005F0864"/>
    <w:rsid w:val="005F50CA"/>
    <w:rsid w:val="00604D99"/>
    <w:rsid w:val="00614CBD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2941"/>
    <w:rsid w:val="00633DD2"/>
    <w:rsid w:val="00636F28"/>
    <w:rsid w:val="00645F3F"/>
    <w:rsid w:val="0064762B"/>
    <w:rsid w:val="00653E8E"/>
    <w:rsid w:val="00655734"/>
    <w:rsid w:val="006615CF"/>
    <w:rsid w:val="00663FD7"/>
    <w:rsid w:val="006722F9"/>
    <w:rsid w:val="00673C16"/>
    <w:rsid w:val="00676168"/>
    <w:rsid w:val="006774E2"/>
    <w:rsid w:val="00681141"/>
    <w:rsid w:val="00682D5E"/>
    <w:rsid w:val="00696ED1"/>
    <w:rsid w:val="006A5B30"/>
    <w:rsid w:val="006A7102"/>
    <w:rsid w:val="006B1282"/>
    <w:rsid w:val="006B1623"/>
    <w:rsid w:val="006B5B97"/>
    <w:rsid w:val="006C22B2"/>
    <w:rsid w:val="006C37AF"/>
    <w:rsid w:val="006C6EC8"/>
    <w:rsid w:val="006C7126"/>
    <w:rsid w:val="006C77B8"/>
    <w:rsid w:val="006D18AE"/>
    <w:rsid w:val="006D1C97"/>
    <w:rsid w:val="006D2981"/>
    <w:rsid w:val="006D3BBE"/>
    <w:rsid w:val="006D495B"/>
    <w:rsid w:val="006E2329"/>
    <w:rsid w:val="006E5A65"/>
    <w:rsid w:val="00700F50"/>
    <w:rsid w:val="00704429"/>
    <w:rsid w:val="00710AD0"/>
    <w:rsid w:val="007151D4"/>
    <w:rsid w:val="00715EEF"/>
    <w:rsid w:val="00717A48"/>
    <w:rsid w:val="0072185D"/>
    <w:rsid w:val="00724EC6"/>
    <w:rsid w:val="007331BC"/>
    <w:rsid w:val="007343BF"/>
    <w:rsid w:val="007377AC"/>
    <w:rsid w:val="00741FA1"/>
    <w:rsid w:val="0074386D"/>
    <w:rsid w:val="0074753A"/>
    <w:rsid w:val="0075790A"/>
    <w:rsid w:val="00764389"/>
    <w:rsid w:val="00767C73"/>
    <w:rsid w:val="00770F3A"/>
    <w:rsid w:val="0077481C"/>
    <w:rsid w:val="0078554E"/>
    <w:rsid w:val="00785E16"/>
    <w:rsid w:val="00786A9D"/>
    <w:rsid w:val="0079023D"/>
    <w:rsid w:val="0079789B"/>
    <w:rsid w:val="007A0722"/>
    <w:rsid w:val="007A2906"/>
    <w:rsid w:val="007A2FA0"/>
    <w:rsid w:val="007A3E39"/>
    <w:rsid w:val="007B091A"/>
    <w:rsid w:val="007B47D4"/>
    <w:rsid w:val="007C5828"/>
    <w:rsid w:val="007D50EA"/>
    <w:rsid w:val="007E3140"/>
    <w:rsid w:val="007E6123"/>
    <w:rsid w:val="007F0A45"/>
    <w:rsid w:val="007F65AC"/>
    <w:rsid w:val="007F6957"/>
    <w:rsid w:val="007F6C83"/>
    <w:rsid w:val="00805A4C"/>
    <w:rsid w:val="00805EF0"/>
    <w:rsid w:val="00813A41"/>
    <w:rsid w:val="0081760C"/>
    <w:rsid w:val="00822F9D"/>
    <w:rsid w:val="00824E04"/>
    <w:rsid w:val="00827A88"/>
    <w:rsid w:val="00831076"/>
    <w:rsid w:val="008320ED"/>
    <w:rsid w:val="008345CD"/>
    <w:rsid w:val="008459BB"/>
    <w:rsid w:val="00852D48"/>
    <w:rsid w:val="008576B7"/>
    <w:rsid w:val="00870657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3B46"/>
    <w:rsid w:val="008A6C92"/>
    <w:rsid w:val="008A7B52"/>
    <w:rsid w:val="008B29C1"/>
    <w:rsid w:val="008C2A48"/>
    <w:rsid w:val="008C2ACB"/>
    <w:rsid w:val="008C6FA2"/>
    <w:rsid w:val="008D6252"/>
    <w:rsid w:val="008E009D"/>
    <w:rsid w:val="008E0AC9"/>
    <w:rsid w:val="008E4601"/>
    <w:rsid w:val="00903CF1"/>
    <w:rsid w:val="00904DDB"/>
    <w:rsid w:val="0092417B"/>
    <w:rsid w:val="00927695"/>
    <w:rsid w:val="00932E66"/>
    <w:rsid w:val="00933810"/>
    <w:rsid w:val="00936778"/>
    <w:rsid w:val="00936981"/>
    <w:rsid w:val="00937FC0"/>
    <w:rsid w:val="00961E64"/>
    <w:rsid w:val="00962B7D"/>
    <w:rsid w:val="00962BEB"/>
    <w:rsid w:val="0096338B"/>
    <w:rsid w:val="00964AE0"/>
    <w:rsid w:val="00970E7F"/>
    <w:rsid w:val="0098212C"/>
    <w:rsid w:val="009917B5"/>
    <w:rsid w:val="009A2009"/>
    <w:rsid w:val="009A231B"/>
    <w:rsid w:val="009A3002"/>
    <w:rsid w:val="009A329E"/>
    <w:rsid w:val="009A627B"/>
    <w:rsid w:val="009A65FC"/>
    <w:rsid w:val="009C0855"/>
    <w:rsid w:val="009C0859"/>
    <w:rsid w:val="009C0BFA"/>
    <w:rsid w:val="009C1751"/>
    <w:rsid w:val="009C36A4"/>
    <w:rsid w:val="009C5508"/>
    <w:rsid w:val="009D6C7F"/>
    <w:rsid w:val="009E10ED"/>
    <w:rsid w:val="009E7233"/>
    <w:rsid w:val="009F37AB"/>
    <w:rsid w:val="009F653D"/>
    <w:rsid w:val="009F6EC2"/>
    <w:rsid w:val="00A0530B"/>
    <w:rsid w:val="00A11593"/>
    <w:rsid w:val="00A14960"/>
    <w:rsid w:val="00A24836"/>
    <w:rsid w:val="00A26A03"/>
    <w:rsid w:val="00A33D50"/>
    <w:rsid w:val="00A40A55"/>
    <w:rsid w:val="00A47F9B"/>
    <w:rsid w:val="00A5108C"/>
    <w:rsid w:val="00A53041"/>
    <w:rsid w:val="00A5744F"/>
    <w:rsid w:val="00A61FF6"/>
    <w:rsid w:val="00A6436D"/>
    <w:rsid w:val="00A80C4F"/>
    <w:rsid w:val="00A870C9"/>
    <w:rsid w:val="00A94BDF"/>
    <w:rsid w:val="00A97862"/>
    <w:rsid w:val="00AA143B"/>
    <w:rsid w:val="00AB01AA"/>
    <w:rsid w:val="00AB0D14"/>
    <w:rsid w:val="00AB2C4F"/>
    <w:rsid w:val="00AB6107"/>
    <w:rsid w:val="00AC1300"/>
    <w:rsid w:val="00AC16A7"/>
    <w:rsid w:val="00AC194A"/>
    <w:rsid w:val="00AC3BF1"/>
    <w:rsid w:val="00AC5087"/>
    <w:rsid w:val="00AD3695"/>
    <w:rsid w:val="00AD697A"/>
    <w:rsid w:val="00AE1B98"/>
    <w:rsid w:val="00AF1991"/>
    <w:rsid w:val="00B0009B"/>
    <w:rsid w:val="00B0334F"/>
    <w:rsid w:val="00B176D5"/>
    <w:rsid w:val="00B17E67"/>
    <w:rsid w:val="00B2079F"/>
    <w:rsid w:val="00B209C9"/>
    <w:rsid w:val="00B2259C"/>
    <w:rsid w:val="00B230DD"/>
    <w:rsid w:val="00B34D90"/>
    <w:rsid w:val="00B42F6B"/>
    <w:rsid w:val="00B45166"/>
    <w:rsid w:val="00B45621"/>
    <w:rsid w:val="00B45F61"/>
    <w:rsid w:val="00B53728"/>
    <w:rsid w:val="00B53A62"/>
    <w:rsid w:val="00B626AF"/>
    <w:rsid w:val="00B76CD1"/>
    <w:rsid w:val="00B81A2D"/>
    <w:rsid w:val="00B924B5"/>
    <w:rsid w:val="00BB4A7E"/>
    <w:rsid w:val="00BB611F"/>
    <w:rsid w:val="00BB6639"/>
    <w:rsid w:val="00BC12EB"/>
    <w:rsid w:val="00BC61AA"/>
    <w:rsid w:val="00BD3296"/>
    <w:rsid w:val="00BD4A0B"/>
    <w:rsid w:val="00BE07B4"/>
    <w:rsid w:val="00BE177B"/>
    <w:rsid w:val="00BE258A"/>
    <w:rsid w:val="00BE2AF4"/>
    <w:rsid w:val="00BF1031"/>
    <w:rsid w:val="00BF110F"/>
    <w:rsid w:val="00BF262A"/>
    <w:rsid w:val="00BF547F"/>
    <w:rsid w:val="00C002B4"/>
    <w:rsid w:val="00C02CA5"/>
    <w:rsid w:val="00C054A5"/>
    <w:rsid w:val="00C1166D"/>
    <w:rsid w:val="00C16253"/>
    <w:rsid w:val="00C21D1F"/>
    <w:rsid w:val="00C239F1"/>
    <w:rsid w:val="00C270A8"/>
    <w:rsid w:val="00C33A02"/>
    <w:rsid w:val="00C34A89"/>
    <w:rsid w:val="00C34B77"/>
    <w:rsid w:val="00C36F0C"/>
    <w:rsid w:val="00C36F5A"/>
    <w:rsid w:val="00C4059C"/>
    <w:rsid w:val="00C40663"/>
    <w:rsid w:val="00C42D8F"/>
    <w:rsid w:val="00C4424C"/>
    <w:rsid w:val="00C44F8B"/>
    <w:rsid w:val="00C475BD"/>
    <w:rsid w:val="00C502F9"/>
    <w:rsid w:val="00C505A3"/>
    <w:rsid w:val="00C51F70"/>
    <w:rsid w:val="00C52FC6"/>
    <w:rsid w:val="00C55339"/>
    <w:rsid w:val="00C65D2B"/>
    <w:rsid w:val="00C66BE0"/>
    <w:rsid w:val="00C7412C"/>
    <w:rsid w:val="00C8389A"/>
    <w:rsid w:val="00C83920"/>
    <w:rsid w:val="00C8443F"/>
    <w:rsid w:val="00C911BF"/>
    <w:rsid w:val="00CA3718"/>
    <w:rsid w:val="00CA4495"/>
    <w:rsid w:val="00CA5BC4"/>
    <w:rsid w:val="00CA7141"/>
    <w:rsid w:val="00CB765D"/>
    <w:rsid w:val="00CC3C33"/>
    <w:rsid w:val="00CC581E"/>
    <w:rsid w:val="00CC765B"/>
    <w:rsid w:val="00CC7C2A"/>
    <w:rsid w:val="00CD566D"/>
    <w:rsid w:val="00CD5EF8"/>
    <w:rsid w:val="00CD5F5F"/>
    <w:rsid w:val="00CE039C"/>
    <w:rsid w:val="00CE665C"/>
    <w:rsid w:val="00CF3794"/>
    <w:rsid w:val="00CF44D0"/>
    <w:rsid w:val="00CF744D"/>
    <w:rsid w:val="00CF752B"/>
    <w:rsid w:val="00CF79D1"/>
    <w:rsid w:val="00D005C0"/>
    <w:rsid w:val="00D007DF"/>
    <w:rsid w:val="00D014B9"/>
    <w:rsid w:val="00D02E1F"/>
    <w:rsid w:val="00D03828"/>
    <w:rsid w:val="00D05358"/>
    <w:rsid w:val="00D058D7"/>
    <w:rsid w:val="00D10203"/>
    <w:rsid w:val="00D1285B"/>
    <w:rsid w:val="00D155CC"/>
    <w:rsid w:val="00D206FA"/>
    <w:rsid w:val="00D20948"/>
    <w:rsid w:val="00D213D8"/>
    <w:rsid w:val="00D26095"/>
    <w:rsid w:val="00D336DC"/>
    <w:rsid w:val="00D3460F"/>
    <w:rsid w:val="00D36721"/>
    <w:rsid w:val="00D4008D"/>
    <w:rsid w:val="00D42C42"/>
    <w:rsid w:val="00D42DC9"/>
    <w:rsid w:val="00D43162"/>
    <w:rsid w:val="00D43CA0"/>
    <w:rsid w:val="00D43CE6"/>
    <w:rsid w:val="00D44039"/>
    <w:rsid w:val="00D45068"/>
    <w:rsid w:val="00D4701F"/>
    <w:rsid w:val="00D50661"/>
    <w:rsid w:val="00D52650"/>
    <w:rsid w:val="00D53054"/>
    <w:rsid w:val="00D64FB3"/>
    <w:rsid w:val="00D70E90"/>
    <w:rsid w:val="00D731AC"/>
    <w:rsid w:val="00D74FE5"/>
    <w:rsid w:val="00D768D7"/>
    <w:rsid w:val="00D77C09"/>
    <w:rsid w:val="00D8061E"/>
    <w:rsid w:val="00D826BF"/>
    <w:rsid w:val="00D8541E"/>
    <w:rsid w:val="00D87A0C"/>
    <w:rsid w:val="00D87E3C"/>
    <w:rsid w:val="00D93245"/>
    <w:rsid w:val="00D93F34"/>
    <w:rsid w:val="00DA0ACD"/>
    <w:rsid w:val="00DA2D22"/>
    <w:rsid w:val="00DA49CB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E4362"/>
    <w:rsid w:val="00DF2E54"/>
    <w:rsid w:val="00DF7916"/>
    <w:rsid w:val="00E020E1"/>
    <w:rsid w:val="00E024DC"/>
    <w:rsid w:val="00E05238"/>
    <w:rsid w:val="00E05262"/>
    <w:rsid w:val="00E064CF"/>
    <w:rsid w:val="00E07946"/>
    <w:rsid w:val="00E07EAE"/>
    <w:rsid w:val="00E2483C"/>
    <w:rsid w:val="00E26486"/>
    <w:rsid w:val="00E31EB2"/>
    <w:rsid w:val="00E35131"/>
    <w:rsid w:val="00E444D1"/>
    <w:rsid w:val="00E447A9"/>
    <w:rsid w:val="00E47A5E"/>
    <w:rsid w:val="00E516F7"/>
    <w:rsid w:val="00E52DD1"/>
    <w:rsid w:val="00E54CE7"/>
    <w:rsid w:val="00E56B33"/>
    <w:rsid w:val="00E6079F"/>
    <w:rsid w:val="00E624C3"/>
    <w:rsid w:val="00E63FC6"/>
    <w:rsid w:val="00E875BF"/>
    <w:rsid w:val="00E97DAA"/>
    <w:rsid w:val="00EA081B"/>
    <w:rsid w:val="00EA36BD"/>
    <w:rsid w:val="00EA5D91"/>
    <w:rsid w:val="00EB2E45"/>
    <w:rsid w:val="00EB6DDD"/>
    <w:rsid w:val="00EC27CB"/>
    <w:rsid w:val="00EC2E15"/>
    <w:rsid w:val="00EC36BA"/>
    <w:rsid w:val="00ED01A2"/>
    <w:rsid w:val="00ED123C"/>
    <w:rsid w:val="00ED61DA"/>
    <w:rsid w:val="00EE6140"/>
    <w:rsid w:val="00EF214F"/>
    <w:rsid w:val="00EF2462"/>
    <w:rsid w:val="00EF4DF9"/>
    <w:rsid w:val="00EF6445"/>
    <w:rsid w:val="00EF6648"/>
    <w:rsid w:val="00F114E8"/>
    <w:rsid w:val="00F11DAF"/>
    <w:rsid w:val="00F1302E"/>
    <w:rsid w:val="00F155DA"/>
    <w:rsid w:val="00F262C9"/>
    <w:rsid w:val="00F27B64"/>
    <w:rsid w:val="00F31089"/>
    <w:rsid w:val="00F34321"/>
    <w:rsid w:val="00F37892"/>
    <w:rsid w:val="00F400AE"/>
    <w:rsid w:val="00F449DF"/>
    <w:rsid w:val="00F4719D"/>
    <w:rsid w:val="00F54F00"/>
    <w:rsid w:val="00F55E37"/>
    <w:rsid w:val="00F56B9A"/>
    <w:rsid w:val="00F60096"/>
    <w:rsid w:val="00F64E07"/>
    <w:rsid w:val="00F650B0"/>
    <w:rsid w:val="00F74BA1"/>
    <w:rsid w:val="00F765C7"/>
    <w:rsid w:val="00F814EE"/>
    <w:rsid w:val="00F8478A"/>
    <w:rsid w:val="00F85099"/>
    <w:rsid w:val="00F85ABC"/>
    <w:rsid w:val="00F926D3"/>
    <w:rsid w:val="00F959B0"/>
    <w:rsid w:val="00FA2C8D"/>
    <w:rsid w:val="00FA324A"/>
    <w:rsid w:val="00FA4CF5"/>
    <w:rsid w:val="00FA714C"/>
    <w:rsid w:val="00FB1EB6"/>
    <w:rsid w:val="00FB409F"/>
    <w:rsid w:val="00FB7756"/>
    <w:rsid w:val="00FB7923"/>
    <w:rsid w:val="00FB7D41"/>
    <w:rsid w:val="00FC3FBE"/>
    <w:rsid w:val="00FC76F7"/>
    <w:rsid w:val="00FC782C"/>
    <w:rsid w:val="00FD21E9"/>
    <w:rsid w:val="00FD521E"/>
    <w:rsid w:val="00FE367D"/>
    <w:rsid w:val="00FE5C2E"/>
    <w:rsid w:val="00FE71F9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05EF0"/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"/>
    <w:basedOn w:val="a0"/>
    <w:rsid w:val="007F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58D2-19CD-48F5-8638-640D3D5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2021-11-24T09:59:00Z</dcterms:modified>
</cp:coreProperties>
</file>